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580" w:lineRule="exact"/>
        <w:ind w:firstLine="902"/>
        <w:jc w:val="center"/>
        <w:rPr>
          <w:rFonts w:ascii="黑体" w:hAnsi="黑体" w:eastAsia="黑体"/>
          <w:b/>
          <w:bCs/>
          <w:sz w:val="36"/>
          <w:szCs w:val="36"/>
        </w:rPr>
      </w:pPr>
      <w:r>
        <w:rPr>
          <w:rFonts w:ascii="黑体" w:hAnsi="黑体" w:eastAsia="黑体"/>
          <w:b/>
          <w:bCs/>
          <w:sz w:val="36"/>
          <w:szCs w:val="36"/>
        </w:rPr>
        <w:t>2016</w:t>
      </w:r>
      <w:r>
        <w:rPr>
          <w:rFonts w:hint="eastAsia" w:ascii="黑体" w:hAnsi="黑体" w:eastAsia="黑体"/>
          <w:b/>
          <w:bCs/>
          <w:sz w:val="36"/>
          <w:szCs w:val="36"/>
        </w:rPr>
        <w:t>年度襄阳市妇幼保健院赴高校招聘紧缺专业人才公告</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根据《事业单位人事管理条例》（国务院令652号），经襄阳市人力资源和社会保障局批准，现将襄阳市妇幼保健+院面向高校招聘工作人员有关事项公告如下：</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招聘对象</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招聘工作人员4名。岗位条件详情见《2016年度襄阳市妇幼保健院赴高校招聘紧缺专业人才岗位一览表》(附后)。</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二、招聘条件</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(一)基本条件：</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1、2016年应届毕业生。</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2、有中华人民共和国国籍；</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3、遵守国家法律、法规，享有公民的政治权利；</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4、有良好的品行，愿意履行事业单位工作人员的义务，遵守事业单位工作纪律；</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5、有符合国家或行业规定并能坚持正常工作的年龄条件和身体条件；</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6、取得国家承认的岗位条件要求的学历；</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7、具有应聘岗位要求的其他条件。</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（二）有下列情形之一的，不受理应聘：</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1、受到党纪、政纪处分或刑事处罚，正在处分（罚）期间的；</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2、正在接受纪律审查、司法调查或者审计的；</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3、曾因犯罪受过刑事处罚或者曾被开除公职；</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4、现役军人；</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5、法律、法规、规章及政策规定可不受理应聘的人员。</w:t>
      </w:r>
    </w:p>
    <w:p>
      <w:pPr>
        <w:spacing w:line="4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（三）年龄计算截止时间为：硕士研究生年龄35周岁及以下，博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士毕业生年龄为40周岁及以下 (年龄截止日期为2016年1月1日)。</w:t>
      </w:r>
    </w:p>
    <w:p>
      <w:pPr>
        <w:spacing w:line="4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三、招聘计划</w:t>
      </w:r>
    </w:p>
    <w:tbl>
      <w:tblPr>
        <w:tblStyle w:val="7"/>
        <w:tblpPr w:leftFromText="180" w:rightFromText="180" w:vertAnchor="text" w:horzAnchor="margin" w:tblpXSpec="center" w:tblpY="169"/>
        <w:tblW w:w="9889" w:type="dxa"/>
        <w:tblInd w:w="0" w:type="dxa"/>
        <w:tblLayout w:type="fixed"/>
        <w:tblCellMar>
          <w:top w:w="0" w:type="dxa"/>
          <w:left w:w="108" w:type="dxa"/>
          <w:bottom w:w="0" w:type="dxa"/>
          <w:right w:w="108" w:type="dxa"/>
        </w:tblCellMar>
      </w:tblPr>
      <w:tblGrid>
        <w:gridCol w:w="718"/>
        <w:gridCol w:w="745"/>
        <w:gridCol w:w="994"/>
        <w:gridCol w:w="752"/>
        <w:gridCol w:w="2114"/>
        <w:gridCol w:w="846"/>
        <w:gridCol w:w="2763"/>
        <w:gridCol w:w="455"/>
        <w:gridCol w:w="502"/>
      </w:tblGrid>
      <w:tr>
        <w:tblPrEx>
          <w:tblLayout w:type="fixed"/>
          <w:tblCellMar>
            <w:top w:w="0" w:type="dxa"/>
            <w:left w:w="108" w:type="dxa"/>
            <w:bottom w:w="0" w:type="dxa"/>
            <w:right w:w="108" w:type="dxa"/>
          </w:tblCellMar>
        </w:tblPrEx>
        <w:trPr>
          <w:trHeight w:val="453" w:hRule="atLeast"/>
        </w:trPr>
        <w:tc>
          <w:tcPr>
            <w:tcW w:w="718"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单位</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岗位类别</w:t>
            </w:r>
          </w:p>
        </w:tc>
        <w:tc>
          <w:tcPr>
            <w:tcW w:w="994"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岗（职）</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位名称</w:t>
            </w: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人数</w:t>
            </w:r>
          </w:p>
        </w:tc>
        <w:tc>
          <w:tcPr>
            <w:tcW w:w="2114" w:type="dxa"/>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招聘对象</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w:t>
            </w:r>
          </w:p>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2763"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招聘条件</w:t>
            </w:r>
          </w:p>
        </w:tc>
        <w:tc>
          <w:tcPr>
            <w:tcW w:w="957"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Layout w:type="fixed"/>
          <w:tblCellMar>
            <w:top w:w="0" w:type="dxa"/>
            <w:left w:w="108" w:type="dxa"/>
            <w:bottom w:w="0" w:type="dxa"/>
            <w:right w:w="108" w:type="dxa"/>
          </w:tblCellMar>
        </w:tblPrEx>
        <w:trPr>
          <w:trHeight w:val="528"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2114" w:type="dxa"/>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2016年应届毕业的全日制普通院校硕士研究生及以上学历</w:t>
            </w: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276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455"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试</w:t>
            </w:r>
          </w:p>
        </w:tc>
        <w:tc>
          <w:tcPr>
            <w:tcW w:w="502" w:type="dxa"/>
            <w:tcBorders>
              <w:top w:val="nil"/>
              <w:left w:val="nil"/>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考核</w:t>
            </w:r>
          </w:p>
        </w:tc>
      </w:tr>
      <w:tr>
        <w:tblPrEx>
          <w:tblLayout w:type="fixed"/>
          <w:tblCellMar>
            <w:top w:w="0" w:type="dxa"/>
            <w:left w:w="108" w:type="dxa"/>
            <w:bottom w:w="0" w:type="dxa"/>
            <w:right w:w="108" w:type="dxa"/>
          </w:tblCellMar>
        </w:tblPrEx>
        <w:trPr>
          <w:trHeight w:val="639" w:hRule="atLeast"/>
        </w:trPr>
        <w:tc>
          <w:tcPr>
            <w:tcW w:w="718"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市妇幼</w:t>
            </w:r>
          </w:p>
        </w:tc>
        <w:tc>
          <w:tcPr>
            <w:tcW w:w="745"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w:t>
            </w:r>
          </w:p>
        </w:tc>
        <w:tc>
          <w:tcPr>
            <w:tcW w:w="994"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儿科</w:t>
            </w:r>
          </w:p>
        </w:tc>
        <w:tc>
          <w:tcPr>
            <w:tcW w:w="752"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114" w:type="dxa"/>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846" w:type="dxa"/>
            <w:tcBorders>
              <w:top w:val="nil"/>
              <w:left w:val="nil"/>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临床医学专业</w:t>
            </w:r>
          </w:p>
        </w:tc>
        <w:tc>
          <w:tcPr>
            <w:tcW w:w="2763" w:type="dxa"/>
            <w:tcBorders>
              <w:top w:val="nil"/>
              <w:left w:val="nil"/>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硕士研究生年龄35周岁及以下，博士毕业生年龄为40周岁及以下。</w:t>
            </w:r>
          </w:p>
        </w:tc>
        <w:tc>
          <w:tcPr>
            <w:tcW w:w="455"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02"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Layout w:type="fixed"/>
          <w:tblCellMar>
            <w:top w:w="0" w:type="dxa"/>
            <w:left w:w="108" w:type="dxa"/>
            <w:bottom w:w="0" w:type="dxa"/>
            <w:right w:w="108" w:type="dxa"/>
          </w:tblCellMar>
        </w:tblPrEx>
        <w:trPr>
          <w:trHeight w:val="941" w:hRule="atLeast"/>
        </w:trPr>
        <w:tc>
          <w:tcPr>
            <w:tcW w:w="718"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p>
        </w:tc>
        <w:tc>
          <w:tcPr>
            <w:tcW w:w="745"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w:t>
            </w:r>
          </w:p>
        </w:tc>
        <w:tc>
          <w:tcPr>
            <w:tcW w:w="994"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妇产科</w:t>
            </w:r>
          </w:p>
        </w:tc>
        <w:tc>
          <w:tcPr>
            <w:tcW w:w="752"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114" w:type="dxa"/>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846" w:type="dxa"/>
            <w:tcBorders>
              <w:top w:val="nil"/>
              <w:left w:val="nil"/>
              <w:bottom w:val="single" w:color="auto" w:sz="4" w:space="0"/>
              <w:right w:val="single" w:color="auto" w:sz="4" w:space="0"/>
            </w:tcBorders>
            <w:vAlign w:val="center"/>
          </w:tcPr>
          <w:p>
            <w:pPr>
              <w:adjustRightInd/>
              <w:snapToGrid/>
              <w:spacing w:after="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临床医学专业</w:t>
            </w:r>
          </w:p>
        </w:tc>
        <w:tc>
          <w:tcPr>
            <w:tcW w:w="2763" w:type="dxa"/>
            <w:tcBorders>
              <w:top w:val="nil"/>
              <w:left w:val="nil"/>
              <w:bottom w:val="single" w:color="auto" w:sz="4" w:space="0"/>
              <w:right w:val="single" w:color="auto" w:sz="4" w:space="0"/>
            </w:tcBorders>
          </w:tcPr>
          <w:p>
            <w:pPr>
              <w:spacing w:after="0" w:line="80" w:lineRule="exact"/>
              <w:rPr>
                <w:rFonts w:hint="eastAsia" w:ascii="仿宋_GB2312" w:hAnsi="仿宋_GB2312" w:eastAsia="仿宋_GB2312" w:cs="仿宋_GB2312"/>
                <w:sz w:val="21"/>
                <w:szCs w:val="21"/>
              </w:rPr>
            </w:pPr>
          </w:p>
          <w:p>
            <w:pPr>
              <w:rPr>
                <w:rFonts w:hint="eastAsia" w:ascii="仿宋_GB2312" w:hAnsi="仿宋_GB2312" w:eastAsia="仿宋_GB2312" w:cs="仿宋_GB2312"/>
              </w:rPr>
            </w:pPr>
            <w:r>
              <w:rPr>
                <w:rFonts w:hint="eastAsia" w:ascii="仿宋_GB2312" w:hAnsi="仿宋_GB2312" w:eastAsia="仿宋_GB2312" w:cs="仿宋_GB2312"/>
                <w:sz w:val="21"/>
                <w:szCs w:val="21"/>
              </w:rPr>
              <w:t>硕士研究生年龄35周岁及以下，博士毕业生年龄为40周岁及以下。</w:t>
            </w:r>
          </w:p>
        </w:tc>
        <w:tc>
          <w:tcPr>
            <w:tcW w:w="455"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02" w:type="dxa"/>
            <w:tcBorders>
              <w:top w:val="nil"/>
              <w:left w:val="nil"/>
              <w:bottom w:val="single" w:color="auto" w:sz="4" w:space="0"/>
              <w:right w:val="single" w:color="auto" w:sz="4" w:space="0"/>
            </w:tcBorders>
            <w:vAlign w:val="center"/>
          </w:tcPr>
          <w:p>
            <w:pPr>
              <w:adjustRightInd/>
              <w:snapToGrid/>
              <w:spacing w:after="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bl>
    <w:p>
      <w:pPr>
        <w:pStyle w:val="11"/>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四、报名及招聘时间、地点</w:t>
      </w:r>
    </w:p>
    <w:p>
      <w:pPr>
        <w:pStyle w:val="11"/>
        <w:spacing w:line="480" w:lineRule="exact"/>
        <w:ind w:firstLine="316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（一）报名及招聘时间</w:t>
      </w:r>
    </w:p>
    <w:p>
      <w:pPr>
        <w:pStyle w:val="11"/>
        <w:spacing w:line="4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我院2016年面向社会公开招聘紧缺专业高层次人才报名及招聘时间自公告发布之日起即时开始，紧缺专业高层次人才招聘全部工作在2016年4月25日前截止。</w:t>
      </w:r>
    </w:p>
    <w:p>
      <w:pPr>
        <w:pStyle w:val="11"/>
        <w:spacing w:line="480" w:lineRule="exact"/>
        <w:ind w:firstLine="316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（二）报名及招聘地点</w:t>
      </w:r>
    </w:p>
    <w:p>
      <w:pPr>
        <w:pStyle w:val="11"/>
        <w:spacing w:line="480" w:lineRule="exact"/>
        <w:ind w:firstLine="3168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聘人员可在现场向参加招聘会的襄阳市妇幼保健院工作人员递交个人简历和推荐表，也可以发送个人简历和相关资料电子版到襄阳市妇幼保健院人力资源处指定邮箱报名。报名时由医院工作人员负责资格审核，严格按照招聘条件要求进行。</w:t>
      </w:r>
      <w:bookmarkStart w:id="0" w:name="_GoBack"/>
      <w:bookmarkEnd w:id="0"/>
    </w:p>
    <w:p>
      <w:pPr>
        <w:pStyle w:val="11"/>
        <w:spacing w:line="4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招聘工作由襄阳市妇幼保健院在各大高校不定期举行。</w:t>
      </w:r>
    </w:p>
    <w:p>
      <w:pPr>
        <w:spacing w:after="0" w:line="580" w:lineRule="exact"/>
        <w:ind w:firstLine="316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（三）报名办法</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1、应提供本人的二代身份证、学生证、就业协议书、毕业生就业推荐表或其他相关材料。</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2、近期1寸免冠同版登记相片3张。</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4、应聘人员要如实填写《襄阳市事业单位招聘人员报名表》（一式二份），资格审查通过后列入考试对象。</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5、报考人员必须持第二代身份证报名。</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6、应聘人员只能选择一个岗位报名。</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四、考试办法</w:t>
      </w:r>
    </w:p>
    <w:p>
      <w:pPr>
        <w:adjustRightInd/>
        <w:snapToGrid/>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1、成立面试考核小组，最少由3人以上面试考官组成（其中一线专家不少于2名）。</w:t>
      </w:r>
      <w:r>
        <w:rPr>
          <w:rFonts w:hint="eastAsia" w:ascii="仿宋_GB2312" w:hAnsi="仿宋_GB2312" w:eastAsia="仿宋_GB2312" w:cs="仿宋_GB2312"/>
          <w:color w:val="323250"/>
          <w:sz w:val="28"/>
          <w:szCs w:val="28"/>
        </w:rPr>
        <w:t>招聘的岗位采取面试和考核相结合的办法，单位可根据工作需要测试专业知识)。面试一般采取结构化面试方式进行。</w:t>
      </w:r>
      <w:r>
        <w:rPr>
          <w:rFonts w:hint="eastAsia" w:ascii="仿宋_GB2312" w:hAnsi="仿宋_GB2312" w:eastAsia="仿宋_GB2312" w:cs="仿宋_GB2312"/>
          <w:sz w:val="28"/>
          <w:szCs w:val="28"/>
        </w:rPr>
        <w:t>根据总成绩在合格分数线内从高分到低分排序。</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2、成绩查询</w:t>
      </w:r>
    </w:p>
    <w:p>
      <w:pPr>
        <w:spacing w:after="0" w:line="580" w:lineRule="exact"/>
        <w:ind w:firstLine="31680" w:firstLineChars="200"/>
        <w:rPr>
          <w:rFonts w:hint="eastAsia" w:ascii="仿宋_GB2312" w:hAnsi="仿宋_GB2312" w:eastAsia="仿宋_GB2312" w:cs="仿宋_GB2312"/>
          <w:color w:val="323250"/>
          <w:sz w:val="28"/>
          <w:szCs w:val="28"/>
        </w:rPr>
      </w:pPr>
      <w:r>
        <w:rPr>
          <w:rFonts w:hint="eastAsia" w:ascii="仿宋_GB2312" w:hAnsi="仿宋_GB2312" w:eastAsia="仿宋_GB2312" w:cs="仿宋_GB2312"/>
          <w:color w:val="323250"/>
          <w:sz w:val="28"/>
          <w:szCs w:val="28"/>
        </w:rPr>
        <w:t>襄阳市妇幼保健院及襄阳市卫生和计划生育委员会网站：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"http://www.xysfybjy.org.cn/"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color w:val="323250"/>
          <w:sz w:val="28"/>
          <w:szCs w:val="28"/>
          <w:u w:val="none"/>
        </w:rPr>
        <w:t>http://www.xysfybjy.org.cn/</w:t>
      </w:r>
      <w:r>
        <w:rPr>
          <w:rStyle w:val="6"/>
          <w:rFonts w:hint="eastAsia" w:ascii="仿宋_GB2312" w:hAnsi="仿宋_GB2312" w:eastAsia="仿宋_GB2312" w:cs="仿宋_GB2312"/>
          <w:color w:val="323250"/>
          <w:sz w:val="28"/>
          <w:szCs w:val="28"/>
          <w:u w:val="none"/>
        </w:rPr>
        <w:fldChar w:fldCharType="end"/>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五、考核、体检、拟聘人员确定、聘用管理</w:t>
      </w:r>
    </w:p>
    <w:p>
      <w:pPr>
        <w:spacing w:after="0" w:line="580" w:lineRule="exact"/>
        <w:ind w:firstLine="316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（一）考核、体检</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考试总成绩，对在总成绩合格线以上人员，依据从高分到低分排序按岗位招聘计划数与应聘人员数之比1:1的比例对应聘人员进行考核和体检。考核由我单位负责组织，主要考核拟聘用人员思想表现、道德品质、业务能力、工作实绩等情况，审核拟聘用人员的人事档案，对考核对象的资格条件进行复查。体检应在市卫生和计生委所属的有资质的医院进行。体检标准参照《公务员录用体检通用标准（试行）》执行。出现考核、体检不合格或者考生自愿放弃情形的，依据此次考试总成绩在合格分数线内从高分到低分依次递补。</w:t>
      </w:r>
    </w:p>
    <w:p>
      <w:pPr>
        <w:spacing w:after="0" w:line="580" w:lineRule="exact"/>
        <w:ind w:firstLine="3168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（二）拟聘用人员确定及公示</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根据考核、体检结果确定拟聘用人员名单，对拟聘用人员报经市人社部门审核同意后，以我单位的名义在我单位网站、卫计委网站市人力资源和社会保障局网站（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"http://www.xf12333.cn）上进行公示，公示期为7"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color w:val="auto"/>
          <w:sz w:val="28"/>
          <w:szCs w:val="28"/>
          <w:u w:val="none"/>
        </w:rPr>
        <w:t>http://www.xf12333.cn）上进行公示，公示期为7</w:t>
      </w:r>
      <w:r>
        <w:rPr>
          <w:rStyle w:val="6"/>
          <w:rFonts w:hint="eastAsia" w:ascii="仿宋_GB2312" w:hAnsi="仿宋_GB2312" w:eastAsia="仿宋_GB2312" w:cs="仿宋_GB2312"/>
          <w:color w:val="auto"/>
          <w:sz w:val="28"/>
          <w:szCs w:val="28"/>
          <w:u w:val="none"/>
        </w:rPr>
        <w:fldChar w:fldCharType="end"/>
      </w:r>
      <w:r>
        <w:rPr>
          <w:rFonts w:hint="eastAsia" w:ascii="仿宋_GB2312" w:hAnsi="仿宋_GB2312" w:eastAsia="仿宋_GB2312" w:cs="仿宋_GB2312"/>
          <w:sz w:val="28"/>
          <w:szCs w:val="28"/>
        </w:rPr>
        <w:t>个工作日。拟聘用人员在公示期间被发现并查证核实不符合招聘条件或有违反考试考核纪律的，取消聘用资格。</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（三）办理聘用及相关手续</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公示期满无异议的，由我院按照国家事业单位人事管理的有关规定，与新聘用人员签订事业单位聘用合同，办理聘用手续。</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六、联系电话</w:t>
      </w:r>
    </w:p>
    <w:p>
      <w:pPr>
        <w:spacing w:after="0" w:line="580" w:lineRule="exact"/>
        <w:ind w:firstLine="3168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政策咨询电话0710-3069911，监督电话：0710-3513117。</w:t>
      </w:r>
    </w:p>
    <w:p>
      <w:pPr>
        <w:spacing w:after="0" w:line="580" w:lineRule="exact"/>
        <w:jc w:val="center"/>
        <w:rPr>
          <w:rFonts w:hint="eastAsia" w:ascii="仿宋_GB2312" w:hAnsi="仿宋_GB2312" w:eastAsia="仿宋_GB2312" w:cs="仿宋_GB2312"/>
          <w:sz w:val="28"/>
          <w:szCs w:val="28"/>
        </w:rPr>
      </w:pPr>
    </w:p>
    <w:p>
      <w:pPr>
        <w:spacing w:after="0" w:line="580" w:lineRule="exact"/>
        <w:jc w:val="center"/>
        <w:rPr>
          <w:rFonts w:hint="eastAsia" w:ascii="仿宋_GB2312" w:hAnsi="仿宋_GB2312" w:eastAsia="仿宋_GB2312" w:cs="仿宋_GB2312"/>
          <w:sz w:val="28"/>
          <w:szCs w:val="28"/>
        </w:rPr>
      </w:pPr>
    </w:p>
    <w:p>
      <w:pPr>
        <w:spacing w:after="0" w:line="580" w:lineRule="exact"/>
        <w:ind w:firstLine="31680" w:firstLineChars="200"/>
        <w:jc w:val="center"/>
        <w:rPr>
          <w:rFonts w:hint="eastAsia" w:ascii="仿宋_GB2312" w:hAnsi="仿宋_GB2312" w:eastAsia="仿宋_GB2312" w:cs="仿宋_GB2312"/>
        </w:rPr>
      </w:pPr>
      <w:r>
        <w:rPr>
          <w:rFonts w:hint="eastAsia" w:ascii="仿宋_GB2312" w:hAnsi="仿宋_GB2312" w:eastAsia="仿宋_GB2312" w:cs="仿宋_GB2312"/>
          <w:sz w:val="28"/>
          <w:szCs w:val="28"/>
        </w:rPr>
        <w:t>2016年3月10日</w:t>
      </w:r>
    </w:p>
    <w:sectPr>
      <w:pgSz w:w="11906" w:h="16838"/>
      <w:pgMar w:top="1418" w:right="1418" w:bottom="1134"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微软雅黑">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roman"/>
    <w:pitch w:val="default"/>
    <w:sig w:usb0="61007A87" w:usb1="80000000" w:usb2="00000008" w:usb3="00000000" w:csb0="200101FF" w:csb1="20280000"/>
  </w:font>
  <w:font w:name="仿宋">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47F8E"/>
    <w:rsid w:val="00067021"/>
    <w:rsid w:val="000C44F0"/>
    <w:rsid w:val="000C7BAB"/>
    <w:rsid w:val="001258E0"/>
    <w:rsid w:val="00252863"/>
    <w:rsid w:val="00271E02"/>
    <w:rsid w:val="0028630C"/>
    <w:rsid w:val="002873FA"/>
    <w:rsid w:val="00323B43"/>
    <w:rsid w:val="00340C1D"/>
    <w:rsid w:val="00366706"/>
    <w:rsid w:val="00367350"/>
    <w:rsid w:val="00367BB8"/>
    <w:rsid w:val="00381040"/>
    <w:rsid w:val="003D37D8"/>
    <w:rsid w:val="003F7173"/>
    <w:rsid w:val="00412C53"/>
    <w:rsid w:val="004260F0"/>
    <w:rsid w:val="00426133"/>
    <w:rsid w:val="00426E2D"/>
    <w:rsid w:val="004358AB"/>
    <w:rsid w:val="00483287"/>
    <w:rsid w:val="004D46BB"/>
    <w:rsid w:val="00505248"/>
    <w:rsid w:val="00526D4D"/>
    <w:rsid w:val="005C07E5"/>
    <w:rsid w:val="00602E12"/>
    <w:rsid w:val="0061439C"/>
    <w:rsid w:val="006B58B7"/>
    <w:rsid w:val="00700F01"/>
    <w:rsid w:val="00766783"/>
    <w:rsid w:val="0076773B"/>
    <w:rsid w:val="007715BF"/>
    <w:rsid w:val="00786BEE"/>
    <w:rsid w:val="00795A11"/>
    <w:rsid w:val="007C39EC"/>
    <w:rsid w:val="007C7239"/>
    <w:rsid w:val="008060FE"/>
    <w:rsid w:val="008B7726"/>
    <w:rsid w:val="008F52DA"/>
    <w:rsid w:val="00930D6C"/>
    <w:rsid w:val="00940B1E"/>
    <w:rsid w:val="0095387A"/>
    <w:rsid w:val="009928DD"/>
    <w:rsid w:val="009E5013"/>
    <w:rsid w:val="00A2105E"/>
    <w:rsid w:val="00A21FBC"/>
    <w:rsid w:val="00A8105C"/>
    <w:rsid w:val="00AA40F4"/>
    <w:rsid w:val="00B80555"/>
    <w:rsid w:val="00BB0466"/>
    <w:rsid w:val="00BF3E9D"/>
    <w:rsid w:val="00D22144"/>
    <w:rsid w:val="00D31D50"/>
    <w:rsid w:val="00D444B9"/>
    <w:rsid w:val="00E15CEE"/>
    <w:rsid w:val="00E47143"/>
    <w:rsid w:val="00EA6C4C"/>
    <w:rsid w:val="00EB6EE0"/>
    <w:rsid w:val="00F11CEA"/>
    <w:rsid w:val="00F70900"/>
    <w:rsid w:val="3E1B26CF"/>
    <w:rsid w:val="7B20241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pPr>
      <w:spacing w:after="0"/>
    </w:pPr>
    <w:rPr>
      <w:sz w:val="18"/>
      <w:szCs w:val="18"/>
    </w:rPr>
  </w:style>
  <w:style w:type="paragraph" w:styleId="3">
    <w:name w:val="footer"/>
    <w:basedOn w:val="1"/>
    <w:link w:val="10"/>
    <w:semiHidden/>
    <w:qFormat/>
    <w:uiPriority w:val="99"/>
    <w:pPr>
      <w:tabs>
        <w:tab w:val="center" w:pos="4153"/>
        <w:tab w:val="right" w:pos="8306"/>
      </w:tabs>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jc w:val="center"/>
    </w:pPr>
    <w:rPr>
      <w:sz w:val="18"/>
      <w:szCs w:val="18"/>
    </w:rPr>
  </w:style>
  <w:style w:type="character" w:styleId="6">
    <w:name w:val="Hyperlink"/>
    <w:basedOn w:val="5"/>
    <w:qFormat/>
    <w:uiPriority w:val="99"/>
    <w:rPr>
      <w:rFonts w:cs="Times New Roman"/>
      <w:color w:val="0000FF"/>
      <w:u w:val="single"/>
    </w:rPr>
  </w:style>
  <w:style w:type="character" w:customStyle="1" w:styleId="8">
    <w:name w:val="Balloon Text Char"/>
    <w:basedOn w:val="5"/>
    <w:link w:val="2"/>
    <w:semiHidden/>
    <w:qFormat/>
    <w:locked/>
    <w:uiPriority w:val="99"/>
    <w:rPr>
      <w:rFonts w:ascii="Tahoma" w:hAnsi="Tahoma" w:cs="Times New Roman"/>
      <w:sz w:val="18"/>
      <w:szCs w:val="18"/>
    </w:rPr>
  </w:style>
  <w:style w:type="character" w:customStyle="1" w:styleId="9">
    <w:name w:val="Header Char"/>
    <w:basedOn w:val="5"/>
    <w:link w:val="4"/>
    <w:semiHidden/>
    <w:qFormat/>
    <w:locked/>
    <w:uiPriority w:val="99"/>
    <w:rPr>
      <w:rFonts w:ascii="Tahoma" w:hAnsi="Tahoma" w:cs="Times New Roman"/>
      <w:sz w:val="18"/>
      <w:szCs w:val="18"/>
    </w:rPr>
  </w:style>
  <w:style w:type="character" w:customStyle="1" w:styleId="10">
    <w:name w:val="Footer Char"/>
    <w:basedOn w:val="5"/>
    <w:link w:val="3"/>
    <w:semiHidden/>
    <w:qFormat/>
    <w:locked/>
    <w:uiPriority w:val="99"/>
    <w:rPr>
      <w:rFonts w:ascii="Tahoma" w:hAnsi="Tahoma" w:cs="Times New Roman"/>
      <w:sz w:val="18"/>
      <w:szCs w:val="18"/>
    </w:rPr>
  </w:style>
  <w:style w:type="paragraph" w:customStyle="1" w:styleId="11">
    <w:name w:val="No Spacing"/>
    <w:qFormat/>
    <w:uiPriority w:val="99"/>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298</Words>
  <Characters>1703</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2016-02-22T00:34:00Z</cp:lastPrinted>
  <dcterms:modified xsi:type="dcterms:W3CDTF">2016-03-10T01:51:51Z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