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附件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符合放宽工作年限要求的教学类荣誉目录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符合以下条件之一者报考在职优秀教师岗位的，可放宽工作年限：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区（县）级及以上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教育行政（业务）部门授予的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骨干教师（含教师学科带头人、优秀青年教师、教学能手、名师、专业技术拔尖人才及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其他荣誉相当层次者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区（县）级及以上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教育行政（业务）部门授予的优秀班主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val="en-US" w:eastAsia="zh-CN"/>
        </w:rPr>
        <w:t>任（含优秀班集体）、优秀少先队辅导员、优秀共青团干部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其他荣誉相当层次者；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区（县）级及以上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教育行政（业务）部门授予的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val="en-US" w:eastAsia="zh-CN"/>
        </w:rPr>
        <w:t>优秀教师等综合类荣誉称号（含劳动模范、优秀党员、优秀教育工作者、优秀党务工作者等）；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在区（县）级及以上教育行政（业务）部门组织优质课、教学比武、五项全能比赛或其他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教学资源类的教学评比活动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（含说课、录像课、微课、视频课）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中获奖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在区（县）级及以上教育行政（业务）部门组织的学生比（竞）赛活动中荣获辅导奖（无辅导荣誉证书不计）；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作为第一作者在区（县）级及以上教育行政（业务）部门组织的教育教学论文、案例等评比中获奖；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/>
          <w:color w:val="auto"/>
          <w:sz w:val="32"/>
          <w:szCs w:val="32"/>
          <w:highlight w:val="none"/>
          <w:lang w:val="en-US" w:eastAsia="zh-CN"/>
        </w:rPr>
        <w:t>主持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或参与区（县）级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val="en-US" w:eastAsia="zh-CN"/>
        </w:rPr>
        <w:t>及以上科研课题研究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（以课题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立项通知书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或结题证书为据）</w:t>
      </w:r>
      <w:r>
        <w:rPr>
          <w:rFonts w:hint="default" w:ascii="仿宋" w:hAnsi="仿宋" w:eastAsia="仿宋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spacing w:line="560" w:lineRule="exact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</w:p>
    <w:p>
      <w:pPr>
        <w:spacing w:line="560" w:lineRule="exact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E722DD"/>
    <w:multiLevelType w:val="singleLevel"/>
    <w:tmpl w:val="D9E722D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106AE"/>
    <w:rsid w:val="32F1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2021-04-06T08:56:00Z</dcterms:created>
  <dc:creator>熊嗝嗝。</dc:creator>
  <cp:lastModifiedBy>熊嗝嗝。</cp:lastModifiedBy>
  <dcterms:modified xsi:type="dcterms:W3CDTF">2021-04-06T08:57:58Z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334BA429657B4949B35C01999970DEEB</vt:lpwstr>
  </property>
</Properties>
</file>